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C7BE" w:themeColor="accent5" w:themeTint="66"/>
  <w:body>
    <w:p w:rsidR="00D87B9B" w:rsidRPr="00C702CF" w:rsidRDefault="00EE1B4E" w:rsidP="00EE1B4E">
      <w:pPr>
        <w:jc w:val="center"/>
        <w:rPr>
          <w:b/>
          <w:sz w:val="24"/>
          <w:szCs w:val="24"/>
          <w:u w:val="single"/>
        </w:rPr>
      </w:pPr>
      <w:r w:rsidRPr="00C702CF">
        <w:rPr>
          <w:b/>
          <w:sz w:val="24"/>
          <w:szCs w:val="24"/>
          <w:u w:val="single"/>
        </w:rPr>
        <w:t>R</w:t>
      </w:r>
      <w:r w:rsidR="00A2603A">
        <w:rPr>
          <w:b/>
          <w:sz w:val="24"/>
          <w:szCs w:val="24"/>
          <w:u w:val="single"/>
        </w:rPr>
        <w:t>é</w:t>
      </w:r>
      <w:r w:rsidR="008C50EE">
        <w:rPr>
          <w:b/>
          <w:sz w:val="24"/>
          <w:szCs w:val="24"/>
          <w:u w:val="single"/>
        </w:rPr>
        <w:t xml:space="preserve">union du Conseil Municipal du </w:t>
      </w:r>
      <w:r w:rsidR="00E4423C">
        <w:rPr>
          <w:b/>
          <w:sz w:val="24"/>
          <w:szCs w:val="24"/>
          <w:u w:val="single"/>
        </w:rPr>
        <w:t>15 avril 202</w:t>
      </w:r>
      <w:r w:rsidR="005D3167">
        <w:rPr>
          <w:b/>
          <w:sz w:val="24"/>
          <w:szCs w:val="24"/>
          <w:u w:val="single"/>
        </w:rPr>
        <w:t>5</w:t>
      </w:r>
    </w:p>
    <w:tbl>
      <w:tblPr>
        <w:tblpPr w:leftFromText="141" w:rightFromText="141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FD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</w:tblGrid>
      <w:tr w:rsidR="00EE1B4E" w:rsidRPr="00C702CF" w:rsidTr="0010565C">
        <w:trPr>
          <w:trHeight w:val="1134"/>
        </w:trPr>
        <w:tc>
          <w:tcPr>
            <w:tcW w:w="5700" w:type="dxa"/>
            <w:shd w:val="clear" w:color="auto" w:fill="FBEFDC" w:themeFill="accent4" w:themeFillTint="33"/>
          </w:tcPr>
          <w:p w:rsidR="00EE1B4E" w:rsidRPr="00C702CF" w:rsidRDefault="00747FF4" w:rsidP="0010565C">
            <w:pPr>
              <w:pStyle w:val="Titre1"/>
              <w:jc w:val="center"/>
              <w:rPr>
                <w:color w:val="900F17" w:themeColor="accent6" w:themeShade="80"/>
                <w:sz w:val="24"/>
                <w:szCs w:val="24"/>
              </w:rPr>
            </w:pPr>
            <w:r>
              <w:rPr>
                <w:color w:val="900F17" w:themeColor="accent6" w:themeShade="80"/>
                <w:sz w:val="24"/>
                <w:szCs w:val="24"/>
              </w:rPr>
              <w:t>Les budgets sont approuvés</w:t>
            </w:r>
          </w:p>
        </w:tc>
      </w:tr>
    </w:tbl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D52957" w:rsidRDefault="00747FF4" w:rsidP="00D52957">
      <w:pPr>
        <w:rPr>
          <w:rFonts w:ascii="Arial" w:hAnsi="Arial" w:cs="Arial"/>
          <w:sz w:val="20"/>
          <w:szCs w:val="20"/>
        </w:rPr>
      </w:pPr>
      <w:r w:rsidRPr="0081293A">
        <w:rPr>
          <w:rFonts w:ascii="Arial" w:hAnsi="Arial" w:cs="Arial"/>
          <w:sz w:val="20"/>
          <w:szCs w:val="20"/>
        </w:rPr>
        <w:t>Le conseil mun</w:t>
      </w:r>
      <w:r w:rsidR="00CC1A70" w:rsidRPr="0081293A">
        <w:rPr>
          <w:rFonts w:ascii="Arial" w:hAnsi="Arial" w:cs="Arial"/>
          <w:sz w:val="20"/>
          <w:szCs w:val="20"/>
        </w:rPr>
        <w:t>icipal</w:t>
      </w:r>
      <w:r w:rsidR="000F5F4C" w:rsidRPr="0081293A">
        <w:rPr>
          <w:rFonts w:ascii="Arial" w:hAnsi="Arial" w:cs="Arial"/>
          <w:sz w:val="20"/>
          <w:szCs w:val="20"/>
        </w:rPr>
        <w:t xml:space="preserve"> s’est réuni le mercredi </w:t>
      </w:r>
      <w:r w:rsidR="005D3167">
        <w:rPr>
          <w:rFonts w:ascii="Arial" w:hAnsi="Arial" w:cs="Arial"/>
          <w:sz w:val="20"/>
          <w:szCs w:val="20"/>
        </w:rPr>
        <w:t>15 avril 2025</w:t>
      </w:r>
      <w:r w:rsidR="000F5F4C" w:rsidRPr="0081293A">
        <w:rPr>
          <w:rFonts w:ascii="Arial" w:hAnsi="Arial" w:cs="Arial"/>
          <w:sz w:val="20"/>
          <w:szCs w:val="20"/>
        </w:rPr>
        <w:t xml:space="preserve"> sous la présidence du Maire Madame Mariette Voillot.</w:t>
      </w:r>
      <w:r w:rsidRPr="0081293A">
        <w:rPr>
          <w:rFonts w:ascii="Arial" w:hAnsi="Arial" w:cs="Arial"/>
          <w:sz w:val="20"/>
          <w:szCs w:val="20"/>
        </w:rPr>
        <w:t xml:space="preserve"> </w:t>
      </w:r>
      <w:r w:rsidR="00CC1A70" w:rsidRPr="0081293A">
        <w:rPr>
          <w:rFonts w:ascii="Arial" w:hAnsi="Arial" w:cs="Arial"/>
          <w:sz w:val="20"/>
          <w:szCs w:val="20"/>
        </w:rPr>
        <w:t>Les comptes</w:t>
      </w:r>
      <w:r w:rsidR="000F5F4C" w:rsidRPr="0081293A">
        <w:rPr>
          <w:rFonts w:ascii="Arial" w:hAnsi="Arial" w:cs="Arial"/>
          <w:sz w:val="20"/>
          <w:szCs w:val="20"/>
        </w:rPr>
        <w:t xml:space="preserve"> administratifs</w:t>
      </w:r>
      <w:r w:rsidR="005D3167">
        <w:rPr>
          <w:rFonts w:ascii="Arial" w:hAnsi="Arial" w:cs="Arial"/>
          <w:sz w:val="20"/>
          <w:szCs w:val="20"/>
        </w:rPr>
        <w:t xml:space="preserve"> 2024</w:t>
      </w:r>
      <w:r w:rsidR="00BB58A2" w:rsidRPr="0081293A">
        <w:rPr>
          <w:rFonts w:ascii="Arial" w:hAnsi="Arial" w:cs="Arial"/>
          <w:sz w:val="20"/>
          <w:szCs w:val="20"/>
        </w:rPr>
        <w:t xml:space="preserve"> de la commune, dressés par le Trésorier Principal, n’appellent aucune observation ni réserve. Ils </w:t>
      </w:r>
      <w:r w:rsidR="000F5F4C" w:rsidRPr="0081293A">
        <w:rPr>
          <w:rFonts w:ascii="Arial" w:hAnsi="Arial" w:cs="Arial"/>
          <w:sz w:val="20"/>
          <w:szCs w:val="20"/>
        </w:rPr>
        <w:t>ont été approuvé à l’unanimité.</w:t>
      </w:r>
      <w:r w:rsidR="002224B3">
        <w:rPr>
          <w:rFonts w:ascii="Arial" w:hAnsi="Arial" w:cs="Arial"/>
          <w:sz w:val="20"/>
          <w:szCs w:val="20"/>
        </w:rPr>
        <w:t xml:space="preserve"> </w:t>
      </w:r>
      <w:r w:rsidR="00E902E8">
        <w:rPr>
          <w:rFonts w:ascii="Arial" w:hAnsi="Arial" w:cs="Arial"/>
          <w:sz w:val="20"/>
          <w:szCs w:val="20"/>
        </w:rPr>
        <w:t>Le compte financier unique</w:t>
      </w:r>
      <w:r w:rsidR="00D52957">
        <w:rPr>
          <w:rFonts w:ascii="Arial" w:hAnsi="Arial" w:cs="Arial"/>
          <w:sz w:val="20"/>
          <w:szCs w:val="20"/>
        </w:rPr>
        <w:t>,</w:t>
      </w:r>
      <w:r w:rsidR="00E902E8">
        <w:rPr>
          <w:rFonts w:ascii="Arial" w:hAnsi="Arial" w:cs="Arial"/>
          <w:sz w:val="20"/>
          <w:szCs w:val="20"/>
        </w:rPr>
        <w:t xml:space="preserve"> concernant le budget principal</w:t>
      </w:r>
      <w:r w:rsidR="00D52957">
        <w:rPr>
          <w:rFonts w:ascii="Arial" w:hAnsi="Arial" w:cs="Arial"/>
          <w:sz w:val="20"/>
          <w:szCs w:val="20"/>
        </w:rPr>
        <w:t xml:space="preserve"> de l’exercice 2024,</w:t>
      </w:r>
      <w:r w:rsidR="00E902E8">
        <w:rPr>
          <w:rFonts w:ascii="Arial" w:hAnsi="Arial" w:cs="Arial"/>
          <w:sz w:val="20"/>
          <w:szCs w:val="20"/>
        </w:rPr>
        <w:t xml:space="preserve"> présente </w:t>
      </w:r>
      <w:r w:rsidR="00E902E8" w:rsidRPr="00E902E8">
        <w:rPr>
          <w:rFonts w:ascii="Arial" w:hAnsi="Arial" w:cs="Arial"/>
          <w:sz w:val="20"/>
          <w:szCs w:val="20"/>
        </w:rPr>
        <w:t>un excédent de fonctionnement de 267 496,62 € et un déficit d</w:t>
      </w:r>
      <w:r w:rsidR="00E902E8">
        <w:rPr>
          <w:rFonts w:ascii="Arial" w:hAnsi="Arial" w:cs="Arial"/>
          <w:sz w:val="20"/>
          <w:szCs w:val="20"/>
        </w:rPr>
        <w:t xml:space="preserve">’investissement de 93 443,34 €. Le conseil décide </w:t>
      </w:r>
      <w:r w:rsidR="00E902E8" w:rsidRPr="00E902E8">
        <w:rPr>
          <w:rFonts w:ascii="Arial" w:hAnsi="Arial" w:cs="Arial"/>
          <w:sz w:val="20"/>
          <w:szCs w:val="20"/>
        </w:rPr>
        <w:t>d’affecter le déficit d’investissement</w:t>
      </w:r>
      <w:r w:rsidR="00E902E8">
        <w:rPr>
          <w:rFonts w:ascii="Arial" w:hAnsi="Arial" w:cs="Arial"/>
          <w:sz w:val="20"/>
          <w:szCs w:val="20"/>
        </w:rPr>
        <w:t xml:space="preserve"> </w:t>
      </w:r>
      <w:r w:rsidR="00D52957">
        <w:rPr>
          <w:rFonts w:ascii="Arial" w:hAnsi="Arial" w:cs="Arial"/>
          <w:sz w:val="20"/>
          <w:szCs w:val="20"/>
        </w:rPr>
        <w:t>en</w:t>
      </w:r>
      <w:r w:rsidR="00E902E8" w:rsidRPr="00E902E8">
        <w:rPr>
          <w:rFonts w:ascii="Arial" w:hAnsi="Arial" w:cs="Arial"/>
          <w:sz w:val="20"/>
          <w:szCs w:val="20"/>
        </w:rPr>
        <w:t xml:space="preserve"> réserve</w:t>
      </w:r>
      <w:r w:rsidR="00E902E8">
        <w:rPr>
          <w:rFonts w:ascii="Arial" w:hAnsi="Arial" w:cs="Arial"/>
          <w:sz w:val="20"/>
          <w:szCs w:val="20"/>
        </w:rPr>
        <w:t>,</w:t>
      </w:r>
      <w:r w:rsidR="00E902E8" w:rsidRPr="00E902E8">
        <w:rPr>
          <w:rFonts w:ascii="Arial" w:hAnsi="Arial" w:cs="Arial"/>
          <w:sz w:val="20"/>
          <w:szCs w:val="20"/>
        </w:rPr>
        <w:t xml:space="preserve"> à l’article 1068</w:t>
      </w:r>
      <w:r w:rsidR="00E902E8">
        <w:rPr>
          <w:rFonts w:ascii="Arial" w:hAnsi="Arial" w:cs="Arial"/>
          <w:sz w:val="20"/>
          <w:szCs w:val="20"/>
        </w:rPr>
        <w:t>,</w:t>
      </w:r>
      <w:r w:rsidR="00E902E8" w:rsidRPr="00E902E8">
        <w:rPr>
          <w:rFonts w:ascii="Arial" w:hAnsi="Arial" w:cs="Arial"/>
          <w:sz w:val="20"/>
          <w:szCs w:val="20"/>
        </w:rPr>
        <w:t xml:space="preserve"> et la somme de 174 053,28 €</w:t>
      </w:r>
      <w:r w:rsidR="00E902E8">
        <w:rPr>
          <w:rFonts w:ascii="Arial" w:hAnsi="Arial" w:cs="Arial"/>
          <w:sz w:val="20"/>
          <w:szCs w:val="20"/>
        </w:rPr>
        <w:t>,</w:t>
      </w:r>
      <w:r w:rsidR="00E902E8" w:rsidRPr="00E902E8">
        <w:rPr>
          <w:rFonts w:ascii="Arial" w:hAnsi="Arial" w:cs="Arial"/>
          <w:sz w:val="20"/>
          <w:szCs w:val="20"/>
        </w:rPr>
        <w:t xml:space="preserve"> en excédent de fonctionnemen</w:t>
      </w:r>
      <w:r w:rsidR="00E902E8">
        <w:rPr>
          <w:rFonts w:ascii="Arial" w:hAnsi="Arial" w:cs="Arial"/>
          <w:sz w:val="20"/>
          <w:szCs w:val="20"/>
        </w:rPr>
        <w:t>t,</w:t>
      </w:r>
      <w:r w:rsidR="00E902E8" w:rsidRPr="00E902E8">
        <w:rPr>
          <w:rFonts w:ascii="Arial" w:hAnsi="Arial" w:cs="Arial"/>
          <w:sz w:val="20"/>
          <w:szCs w:val="20"/>
        </w:rPr>
        <w:t xml:space="preserve"> à l’article 002.</w:t>
      </w:r>
      <w:r w:rsidR="00A74638">
        <w:rPr>
          <w:rFonts w:ascii="Arial" w:hAnsi="Arial" w:cs="Arial"/>
          <w:sz w:val="20"/>
          <w:szCs w:val="20"/>
        </w:rPr>
        <w:t xml:space="preserve"> </w:t>
      </w:r>
      <w:r w:rsidR="00E902E8">
        <w:rPr>
          <w:rFonts w:ascii="Arial" w:hAnsi="Arial" w:cs="Arial"/>
          <w:sz w:val="20"/>
          <w:szCs w:val="20"/>
        </w:rPr>
        <w:t>Quant au budget d’assainissement, le compte financier unique</w:t>
      </w:r>
      <w:r w:rsidR="00D52957">
        <w:rPr>
          <w:rFonts w:ascii="Arial" w:hAnsi="Arial" w:cs="Arial"/>
          <w:sz w:val="20"/>
          <w:szCs w:val="20"/>
        </w:rPr>
        <w:t xml:space="preserve"> 2024, présente un</w:t>
      </w:r>
      <w:r w:rsidR="00D52957" w:rsidRPr="00D52957">
        <w:rPr>
          <w:rFonts w:ascii="Arial" w:hAnsi="Arial" w:cs="Arial"/>
          <w:sz w:val="20"/>
          <w:szCs w:val="20"/>
        </w:rPr>
        <w:t xml:space="preserve"> excédent de fonctionnement de 11 513,32 € et un excédent</w:t>
      </w:r>
      <w:r w:rsidR="00A74638">
        <w:rPr>
          <w:rFonts w:ascii="Arial" w:hAnsi="Arial" w:cs="Arial"/>
          <w:sz w:val="20"/>
          <w:szCs w:val="20"/>
        </w:rPr>
        <w:t xml:space="preserve"> d’investissement de</w:t>
      </w:r>
      <w:r w:rsidR="00A7463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D52957">
        <w:rPr>
          <w:rFonts w:ascii="Arial" w:hAnsi="Arial" w:cs="Arial"/>
          <w:sz w:val="20"/>
          <w:szCs w:val="20"/>
        </w:rPr>
        <w:t>8 336,91 €. Le conseil municipal</w:t>
      </w:r>
      <w:r w:rsidR="00D52957" w:rsidRPr="00D52957">
        <w:rPr>
          <w:rFonts w:ascii="Arial" w:hAnsi="Arial" w:cs="Arial"/>
          <w:sz w:val="20"/>
          <w:szCs w:val="20"/>
        </w:rPr>
        <w:t xml:space="preserve"> décide d’affecter l’ex</w:t>
      </w:r>
      <w:r w:rsidR="00D52957">
        <w:rPr>
          <w:rFonts w:ascii="Arial" w:hAnsi="Arial" w:cs="Arial"/>
          <w:sz w:val="20"/>
          <w:szCs w:val="20"/>
        </w:rPr>
        <w:t>cédent de fonctionnement</w:t>
      </w:r>
      <w:r w:rsidR="00D52957" w:rsidRPr="00D52957">
        <w:rPr>
          <w:rFonts w:ascii="Arial" w:hAnsi="Arial" w:cs="Arial"/>
          <w:sz w:val="20"/>
          <w:szCs w:val="20"/>
        </w:rPr>
        <w:t xml:space="preserve"> à l’article 002.</w:t>
      </w:r>
    </w:p>
    <w:p w:rsidR="00A74638" w:rsidRDefault="00A74638" w:rsidP="00D529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Concernant l</w:t>
      </w:r>
      <w:r w:rsidRPr="00A7463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budget principal, le C</w:t>
      </w:r>
      <w:r w:rsidRPr="00A74638">
        <w:rPr>
          <w:rFonts w:ascii="Arial" w:hAnsi="Arial" w:cs="Arial"/>
          <w:sz w:val="20"/>
          <w:szCs w:val="20"/>
        </w:rPr>
        <w:t>onseil Municipal approuve le Budget primitif 2025 qui s’équilibre en dépenses et en recettes de fonctionnement à la somme de 664 082 € et s’équilibre en dépenses et recettes d’investissement à la somme de 302 539 € pour un budget global équilibré à 966 621 €.</w:t>
      </w:r>
      <w:r>
        <w:rPr>
          <w:rFonts w:ascii="Arial" w:hAnsi="Arial" w:cs="Arial"/>
          <w:sz w:val="20"/>
          <w:szCs w:val="20"/>
        </w:rPr>
        <w:t xml:space="preserve"> De même pour le budget d’assainissement, le Conseil Municipal</w:t>
      </w:r>
      <w:r w:rsidRPr="00A74638">
        <w:rPr>
          <w:rFonts w:ascii="Arial" w:hAnsi="Arial" w:cs="Arial"/>
          <w:sz w:val="20"/>
          <w:szCs w:val="20"/>
        </w:rPr>
        <w:t xml:space="preserve"> approuve le Budget primitif 2025 qui s’équilibre en dépenses et en recettes de fonctionnement à la somme de 30 815 € et s’équilibre en dépenses et recettes d’investissement à la somme de 17 183 € pour un budge</w:t>
      </w:r>
      <w:r>
        <w:rPr>
          <w:rFonts w:ascii="Arial" w:hAnsi="Arial" w:cs="Arial"/>
          <w:sz w:val="20"/>
          <w:szCs w:val="20"/>
        </w:rPr>
        <w:t xml:space="preserve">t global équilibré à </w:t>
      </w:r>
      <w:r>
        <w:rPr>
          <w:rFonts w:ascii="Arial" w:hAnsi="Arial" w:cs="Arial"/>
          <w:sz w:val="20"/>
          <w:szCs w:val="20"/>
        </w:rPr>
        <w:br/>
      </w:r>
      <w:r w:rsidRPr="00A74638">
        <w:rPr>
          <w:rFonts w:ascii="Arial" w:hAnsi="Arial" w:cs="Arial"/>
          <w:sz w:val="20"/>
          <w:szCs w:val="20"/>
        </w:rPr>
        <w:t>47 998 €.</w:t>
      </w:r>
    </w:p>
    <w:p w:rsidR="00A74638" w:rsidRDefault="00A74638" w:rsidP="00A74638">
      <w:pPr>
        <w:rPr>
          <w:rFonts w:ascii="Arial" w:hAnsi="Arial" w:cs="Arial"/>
          <w:sz w:val="20"/>
          <w:szCs w:val="20"/>
        </w:rPr>
      </w:pPr>
      <w:r w:rsidRPr="00D52957">
        <w:rPr>
          <w:rFonts w:ascii="Arial" w:hAnsi="Arial" w:cs="Arial"/>
          <w:sz w:val="20"/>
          <w:szCs w:val="20"/>
        </w:rPr>
        <w:t>Après en avoir délibéré le Conseil Municipal décide de ne voter aucune augmentation des taux d’imposition pour l’année 2025 ; les</w:t>
      </w:r>
      <w:r>
        <w:rPr>
          <w:rFonts w:ascii="Arial" w:hAnsi="Arial" w:cs="Arial"/>
          <w:sz w:val="20"/>
          <w:szCs w:val="20"/>
        </w:rPr>
        <w:t xml:space="preserve"> taux votés sont les suivants : Taxe foncière bâti : 32,57 %, taxe foncière non bâti : 16,13 %, t</w:t>
      </w:r>
      <w:r w:rsidRPr="00D52957">
        <w:rPr>
          <w:rFonts w:ascii="Arial" w:hAnsi="Arial" w:cs="Arial"/>
          <w:sz w:val="20"/>
          <w:szCs w:val="20"/>
        </w:rPr>
        <w:t>axe d’</w:t>
      </w:r>
      <w:r>
        <w:rPr>
          <w:rFonts w:ascii="Arial" w:hAnsi="Arial" w:cs="Arial"/>
          <w:sz w:val="20"/>
          <w:szCs w:val="20"/>
        </w:rPr>
        <w:t xml:space="preserve">habitation : 13,69 %, </w:t>
      </w:r>
      <w:r w:rsidRPr="00D52957">
        <w:rPr>
          <w:rFonts w:ascii="Arial" w:hAnsi="Arial" w:cs="Arial"/>
          <w:sz w:val="20"/>
          <w:szCs w:val="20"/>
        </w:rPr>
        <w:t>CFE : 15,92 %</w:t>
      </w:r>
      <w:r>
        <w:rPr>
          <w:rFonts w:ascii="Arial" w:hAnsi="Arial" w:cs="Arial"/>
          <w:sz w:val="20"/>
          <w:szCs w:val="20"/>
        </w:rPr>
        <w:t>.</w:t>
      </w:r>
    </w:p>
    <w:p w:rsidR="00E902E8" w:rsidRDefault="00E902E8" w:rsidP="003D1870">
      <w:pPr>
        <w:spacing w:after="240"/>
        <w:rPr>
          <w:rFonts w:ascii="Arial" w:hAnsi="Arial" w:cs="Arial"/>
          <w:sz w:val="20"/>
          <w:szCs w:val="20"/>
        </w:rPr>
      </w:pPr>
    </w:p>
    <w:sectPr w:rsidR="00E9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102"/>
    <w:multiLevelType w:val="hybridMultilevel"/>
    <w:tmpl w:val="7E2A7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499A"/>
    <w:multiLevelType w:val="hybridMultilevel"/>
    <w:tmpl w:val="C44C2D6C"/>
    <w:lvl w:ilvl="0" w:tplc="9B8A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B"/>
    <w:rsid w:val="000048D2"/>
    <w:rsid w:val="000164DD"/>
    <w:rsid w:val="00033276"/>
    <w:rsid w:val="000621BF"/>
    <w:rsid w:val="00077C0E"/>
    <w:rsid w:val="000908CE"/>
    <w:rsid w:val="000A755F"/>
    <w:rsid w:val="000B5687"/>
    <w:rsid w:val="000E4699"/>
    <w:rsid w:val="000F5F4C"/>
    <w:rsid w:val="0010565C"/>
    <w:rsid w:val="00153008"/>
    <w:rsid w:val="00164C19"/>
    <w:rsid w:val="00182834"/>
    <w:rsid w:val="001B0284"/>
    <w:rsid w:val="001C6CDD"/>
    <w:rsid w:val="001E2395"/>
    <w:rsid w:val="0020373E"/>
    <w:rsid w:val="002224B3"/>
    <w:rsid w:val="002268B2"/>
    <w:rsid w:val="00240158"/>
    <w:rsid w:val="00247A89"/>
    <w:rsid w:val="002550E4"/>
    <w:rsid w:val="00287CC5"/>
    <w:rsid w:val="00292FDB"/>
    <w:rsid w:val="00296B1C"/>
    <w:rsid w:val="002C7021"/>
    <w:rsid w:val="002E1625"/>
    <w:rsid w:val="00300AC4"/>
    <w:rsid w:val="003138A1"/>
    <w:rsid w:val="0033158B"/>
    <w:rsid w:val="00341365"/>
    <w:rsid w:val="00341D40"/>
    <w:rsid w:val="00341D9A"/>
    <w:rsid w:val="00371BB1"/>
    <w:rsid w:val="003D148D"/>
    <w:rsid w:val="003D1870"/>
    <w:rsid w:val="003E1D44"/>
    <w:rsid w:val="003F40C3"/>
    <w:rsid w:val="003F6FD4"/>
    <w:rsid w:val="004073EA"/>
    <w:rsid w:val="00431216"/>
    <w:rsid w:val="00433D3A"/>
    <w:rsid w:val="00461600"/>
    <w:rsid w:val="0047630B"/>
    <w:rsid w:val="004B0FC6"/>
    <w:rsid w:val="004C2515"/>
    <w:rsid w:val="004C7E7B"/>
    <w:rsid w:val="004D03BA"/>
    <w:rsid w:val="004D280F"/>
    <w:rsid w:val="004D4298"/>
    <w:rsid w:val="004E07D9"/>
    <w:rsid w:val="004E223D"/>
    <w:rsid w:val="004E6D8F"/>
    <w:rsid w:val="00524D54"/>
    <w:rsid w:val="00530035"/>
    <w:rsid w:val="00550261"/>
    <w:rsid w:val="00552980"/>
    <w:rsid w:val="00555DA6"/>
    <w:rsid w:val="00557559"/>
    <w:rsid w:val="005733EC"/>
    <w:rsid w:val="005D3167"/>
    <w:rsid w:val="005D4C81"/>
    <w:rsid w:val="005D6E93"/>
    <w:rsid w:val="005F3A9E"/>
    <w:rsid w:val="006228FE"/>
    <w:rsid w:val="006445F3"/>
    <w:rsid w:val="00646E09"/>
    <w:rsid w:val="00654216"/>
    <w:rsid w:val="0065678B"/>
    <w:rsid w:val="00664CBB"/>
    <w:rsid w:val="0066571E"/>
    <w:rsid w:val="00684EAD"/>
    <w:rsid w:val="006875BD"/>
    <w:rsid w:val="0069539E"/>
    <w:rsid w:val="007270A0"/>
    <w:rsid w:val="00730238"/>
    <w:rsid w:val="00747FF4"/>
    <w:rsid w:val="007500E5"/>
    <w:rsid w:val="00756BF7"/>
    <w:rsid w:val="00764AA5"/>
    <w:rsid w:val="007822B1"/>
    <w:rsid w:val="00782C70"/>
    <w:rsid w:val="007969D4"/>
    <w:rsid w:val="007D10DA"/>
    <w:rsid w:val="007E7FB8"/>
    <w:rsid w:val="00805278"/>
    <w:rsid w:val="0081293A"/>
    <w:rsid w:val="00814E41"/>
    <w:rsid w:val="00817C8C"/>
    <w:rsid w:val="00853DD6"/>
    <w:rsid w:val="0087683B"/>
    <w:rsid w:val="008A444D"/>
    <w:rsid w:val="008A63C2"/>
    <w:rsid w:val="008A7663"/>
    <w:rsid w:val="008C4CFA"/>
    <w:rsid w:val="008C50EE"/>
    <w:rsid w:val="008E2724"/>
    <w:rsid w:val="008F25D5"/>
    <w:rsid w:val="008F480C"/>
    <w:rsid w:val="00912886"/>
    <w:rsid w:val="009141A0"/>
    <w:rsid w:val="00915A7B"/>
    <w:rsid w:val="00932008"/>
    <w:rsid w:val="009356DE"/>
    <w:rsid w:val="009364E3"/>
    <w:rsid w:val="00952885"/>
    <w:rsid w:val="00976599"/>
    <w:rsid w:val="00985F65"/>
    <w:rsid w:val="00986725"/>
    <w:rsid w:val="0099755F"/>
    <w:rsid w:val="009B0EBD"/>
    <w:rsid w:val="009B56DD"/>
    <w:rsid w:val="009B5F9B"/>
    <w:rsid w:val="009C045F"/>
    <w:rsid w:val="009D6CEB"/>
    <w:rsid w:val="009E0171"/>
    <w:rsid w:val="00A21D37"/>
    <w:rsid w:val="00A2237B"/>
    <w:rsid w:val="00A2603A"/>
    <w:rsid w:val="00A32918"/>
    <w:rsid w:val="00A4772C"/>
    <w:rsid w:val="00A74638"/>
    <w:rsid w:val="00A80704"/>
    <w:rsid w:val="00A91BC7"/>
    <w:rsid w:val="00AA1ACE"/>
    <w:rsid w:val="00AD2C49"/>
    <w:rsid w:val="00AD6B2D"/>
    <w:rsid w:val="00AD7FA7"/>
    <w:rsid w:val="00AE2B0B"/>
    <w:rsid w:val="00AE3742"/>
    <w:rsid w:val="00AE378E"/>
    <w:rsid w:val="00AE712C"/>
    <w:rsid w:val="00B3385E"/>
    <w:rsid w:val="00B37E70"/>
    <w:rsid w:val="00B563FC"/>
    <w:rsid w:val="00B57193"/>
    <w:rsid w:val="00B71217"/>
    <w:rsid w:val="00B73737"/>
    <w:rsid w:val="00B758F8"/>
    <w:rsid w:val="00B77B8D"/>
    <w:rsid w:val="00B92181"/>
    <w:rsid w:val="00BA5126"/>
    <w:rsid w:val="00BB32E2"/>
    <w:rsid w:val="00BB58A2"/>
    <w:rsid w:val="00BE2E1A"/>
    <w:rsid w:val="00C067A1"/>
    <w:rsid w:val="00C24A20"/>
    <w:rsid w:val="00C30F9A"/>
    <w:rsid w:val="00C35674"/>
    <w:rsid w:val="00C610B5"/>
    <w:rsid w:val="00C669FF"/>
    <w:rsid w:val="00C702CF"/>
    <w:rsid w:val="00C935AC"/>
    <w:rsid w:val="00CA63A9"/>
    <w:rsid w:val="00CB7E56"/>
    <w:rsid w:val="00CC072E"/>
    <w:rsid w:val="00CC1A70"/>
    <w:rsid w:val="00CC5566"/>
    <w:rsid w:val="00CF144A"/>
    <w:rsid w:val="00CF6388"/>
    <w:rsid w:val="00D35A1C"/>
    <w:rsid w:val="00D43139"/>
    <w:rsid w:val="00D52957"/>
    <w:rsid w:val="00D874D0"/>
    <w:rsid w:val="00D87B9B"/>
    <w:rsid w:val="00DA219D"/>
    <w:rsid w:val="00DA259F"/>
    <w:rsid w:val="00DC6181"/>
    <w:rsid w:val="00DE5ED7"/>
    <w:rsid w:val="00DF5538"/>
    <w:rsid w:val="00DF7D65"/>
    <w:rsid w:val="00E065E3"/>
    <w:rsid w:val="00E373C1"/>
    <w:rsid w:val="00E4423C"/>
    <w:rsid w:val="00E5086F"/>
    <w:rsid w:val="00E55BBD"/>
    <w:rsid w:val="00E56EE4"/>
    <w:rsid w:val="00E61EC4"/>
    <w:rsid w:val="00E8540A"/>
    <w:rsid w:val="00E902E8"/>
    <w:rsid w:val="00EB1688"/>
    <w:rsid w:val="00EB7C98"/>
    <w:rsid w:val="00EC3B01"/>
    <w:rsid w:val="00ED56A1"/>
    <w:rsid w:val="00EE1B4E"/>
    <w:rsid w:val="00F22363"/>
    <w:rsid w:val="00F326C1"/>
    <w:rsid w:val="00F54C58"/>
    <w:rsid w:val="00F723F1"/>
    <w:rsid w:val="00F725C2"/>
    <w:rsid w:val="00F841E5"/>
    <w:rsid w:val="00F935F2"/>
    <w:rsid w:val="00FB5EE7"/>
    <w:rsid w:val="00FC4A60"/>
    <w:rsid w:val="00FD0B73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B9B9"/>
  <w15:chartTrackingRefBased/>
  <w15:docId w15:val="{B640C283-2BE5-4056-85C0-5A5B2D6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515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126"/>
    <w:rPr>
      <w:b/>
      <w:bCs/>
    </w:rPr>
  </w:style>
  <w:style w:type="paragraph" w:styleId="Paragraphedeliste">
    <w:name w:val="List Paragraph"/>
    <w:basedOn w:val="Normal"/>
    <w:uiPriority w:val="34"/>
    <w:qFormat/>
    <w:rsid w:val="00B77B8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E0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Bottigliri</dc:creator>
  <cp:keywords/>
  <dc:description/>
  <cp:lastModifiedBy>Anthony Bottigliri</cp:lastModifiedBy>
  <cp:revision>6</cp:revision>
  <dcterms:created xsi:type="dcterms:W3CDTF">2025-04-16T09:24:00Z</dcterms:created>
  <dcterms:modified xsi:type="dcterms:W3CDTF">2025-04-17T07:30:00Z</dcterms:modified>
</cp:coreProperties>
</file>